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ED66AF">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1">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C074B0" w:rsidRPr="00F611E2" w:rsidRDefault="002B77AB" w:rsidP="00CF7A59">
      <w:pPr>
        <w:spacing w:line="357" w:lineRule="exact"/>
        <w:jc w:val="center"/>
        <w:rPr>
          <w:rFonts w:hint="default"/>
          <w:sz w:val="28"/>
        </w:rPr>
      </w:pPr>
      <w:r>
        <w:rPr>
          <w:color w:val="auto"/>
          <w:sz w:val="28"/>
        </w:rPr>
        <w:t>警備・食器洗浄</w:t>
      </w:r>
      <w:r w:rsidR="004F7740" w:rsidRPr="00E707F4">
        <w:rPr>
          <w:color w:val="auto"/>
          <w:sz w:val="28"/>
        </w:rPr>
        <w:t>業務</w:t>
      </w:r>
      <w:r w:rsidR="00142A69" w:rsidRPr="00E707F4">
        <w:rPr>
          <w:color w:val="auto"/>
          <w:sz w:val="28"/>
        </w:rPr>
        <w:t>の</w:t>
      </w:r>
      <w:r w:rsidR="00142A69"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2B77AB">
        <w:t>警備・食器洗浄</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CF7A59"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2</w:t>
      </w:r>
      <w:r>
        <w:t>月</w:t>
      </w:r>
      <w:r w:rsidR="00E707F4">
        <w:t>2</w:t>
      </w:r>
      <w:r w:rsidR="00871E18">
        <w:t>6</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E707F4" w:rsidRDefault="00B707A6" w:rsidP="00F611E2">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2B77AB">
        <w:rPr>
          <w:color w:val="auto"/>
        </w:rPr>
        <w:t>警備・食器洗浄</w:t>
      </w:r>
      <w:r w:rsidR="004F7740" w:rsidRPr="00E707F4">
        <w:rPr>
          <w:color w:val="auto"/>
          <w:szCs w:val="24"/>
        </w:rPr>
        <w:t>業務</w:t>
      </w:r>
    </w:p>
    <w:p w:rsidR="00C074B0" w:rsidRPr="00CF7A59"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120AC6" w:rsidRPr="00E707F4">
        <w:rPr>
          <w:color w:val="auto"/>
        </w:rPr>
        <w:t>2</w:t>
      </w:r>
      <w:r w:rsidR="00F611E2">
        <w:rPr>
          <w:color w:val="auto"/>
        </w:rPr>
        <w:t>8</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120AC6" w:rsidRPr="00E707F4">
        <w:rPr>
          <w:color w:val="auto"/>
        </w:rPr>
        <w:t>1</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FF6FF7" w:rsidRDefault="00FF6FF7" w:rsidP="00FF6FF7">
      <w:pPr>
        <w:spacing w:line="317" w:lineRule="exact"/>
        <w:rPr>
          <w:rFonts w:hint="default"/>
        </w:rPr>
      </w:pPr>
      <w:r>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r>
        <w:t>げた者</w:t>
      </w:r>
    </w:p>
    <w:p w:rsidR="00FF6FF7" w:rsidRDefault="00FF6FF7">
      <w:pPr>
        <w:spacing w:line="317" w:lineRule="exact"/>
        <w:rPr>
          <w:rFonts w:hint="default"/>
        </w:rPr>
      </w:pPr>
      <w:r>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lastRenderedPageBreak/>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rsidRPr="00112DF6">
        <w:t>（３）</w:t>
      </w:r>
      <w:r w:rsidR="00A44993" w:rsidRPr="00112DF6">
        <w:t>警備業法(昭和４７年法律第１１７号)</w:t>
      </w:r>
      <w:r w:rsidR="00112DF6" w:rsidRPr="00112DF6">
        <w:t>第４条</w:t>
      </w:r>
      <w:r w:rsidR="00A44993" w:rsidRPr="00112DF6">
        <w:t>に基づく認定を受けている</w:t>
      </w:r>
      <w:r w:rsidRPr="00112DF6">
        <w:t>こと。</w:t>
      </w:r>
    </w:p>
    <w:p w:rsidR="00C074B0" w:rsidRDefault="00B707A6">
      <w:pPr>
        <w:spacing w:line="317" w:lineRule="exact"/>
        <w:rPr>
          <w:rFonts w:hint="default"/>
        </w:rPr>
      </w:pPr>
      <w:r>
        <w:rPr>
          <w:color w:val="FF0000"/>
          <w:sz w:val="16"/>
        </w:rPr>
        <w:t xml:space="preserve">   </w:t>
      </w:r>
    </w:p>
    <w:p w:rsidR="00C074B0" w:rsidRDefault="003620A3">
      <w:pPr>
        <w:spacing w:line="317" w:lineRule="exact"/>
        <w:rPr>
          <w:rFonts w:hint="default"/>
        </w:rPr>
      </w:pPr>
      <w:r>
        <w:t>（４</w:t>
      </w:r>
      <w:r w:rsidR="00B707A6">
        <w:t>）その他、下記事項に該当する者であること。</w:t>
      </w:r>
    </w:p>
    <w:p w:rsidR="00C074B0" w:rsidRDefault="00B707A6" w:rsidP="00AE05F2">
      <w:pPr>
        <w:spacing w:line="317" w:lineRule="exact"/>
        <w:ind w:left="964" w:hangingChars="400" w:hanging="964"/>
        <w:rPr>
          <w:rFonts w:hint="default"/>
        </w:rPr>
      </w:pPr>
      <w:r>
        <w:t xml:space="preserve">　　　①　法人等を設立して５年以上経過しており、</w:t>
      </w:r>
      <w:r w:rsidR="002B77AB">
        <w:t>警備・食器洗浄</w:t>
      </w:r>
      <w:r w:rsidR="00AE05F2" w:rsidRPr="00E707F4">
        <w:rPr>
          <w:color w:val="auto"/>
          <w:szCs w:val="24"/>
        </w:rPr>
        <w:t>業務</w:t>
      </w:r>
      <w:r w:rsidRPr="00E707F4">
        <w:rPr>
          <w:color w:val="auto"/>
        </w:rPr>
        <w:t>に</w:t>
      </w:r>
      <w:r>
        <w:t xml:space="preserve">ついて、各々良好な運営実績が３年以上あること。　 </w:t>
      </w:r>
    </w:p>
    <w:p w:rsidR="003620A3" w:rsidRDefault="00B707A6">
      <w:pPr>
        <w:spacing w:line="317" w:lineRule="exact"/>
        <w:rPr>
          <w:rFonts w:hint="default"/>
        </w:rPr>
      </w:pPr>
      <w:r>
        <w:t xml:space="preserve">　　　②　</w:t>
      </w:r>
      <w:r w:rsidR="003620A3">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Pr="00AB206D">
        <w:t>５</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A373AC">
        <w:t>2</w:t>
      </w:r>
      <w:r>
        <w:t>月</w:t>
      </w:r>
      <w:r w:rsidR="00E707F4">
        <w:t>2</w:t>
      </w:r>
      <w:r w:rsidR="00792E7D">
        <w:t>7</w:t>
      </w:r>
      <w:r>
        <w:t>日(</w:t>
      </w:r>
      <w:r w:rsidR="00792E7D">
        <w:t>金</w:t>
      </w:r>
      <w:r>
        <w:t>)から同年</w:t>
      </w:r>
      <w:r w:rsidR="00792E7D">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C074B0" w:rsidRDefault="00B707A6">
      <w:pPr>
        <w:spacing w:line="317" w:lineRule="exact"/>
        <w:rPr>
          <w:rFonts w:hint="default"/>
        </w:rPr>
      </w:pPr>
      <w:r>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8B6B81">
        <w:rPr>
          <w:color w:val="auto"/>
        </w:rPr>
        <w:t>8</w:t>
      </w:r>
      <w:r w:rsidRPr="00E707F4">
        <w:rPr>
          <w:color w:val="auto"/>
        </w:rPr>
        <w:t>日（</w:t>
      </w:r>
      <w:r w:rsidR="008B6B81">
        <w:rPr>
          <w:color w:val="auto"/>
        </w:rPr>
        <w:t>水</w:t>
      </w:r>
      <w:r w:rsidRPr="00E707F4">
        <w:rPr>
          <w:color w:val="auto"/>
        </w:rPr>
        <w:t>）</w:t>
      </w:r>
      <w:r w:rsidR="00AE05F2" w:rsidRPr="00E707F4">
        <w:rPr>
          <w:color w:val="auto"/>
        </w:rPr>
        <w:t>1</w:t>
      </w:r>
      <w:r w:rsidR="008B6B81">
        <w:rPr>
          <w:color w:val="auto"/>
        </w:rPr>
        <w:t>4</w:t>
      </w:r>
      <w:r w:rsidRPr="00E707F4">
        <w:rPr>
          <w:color w:val="auto"/>
        </w:rPr>
        <w:t>時</w:t>
      </w:r>
      <w:r w:rsidR="008B6B81">
        <w:rPr>
          <w:color w:val="auto"/>
        </w:rPr>
        <w:t>3</w:t>
      </w:r>
      <w:r w:rsidR="00AE05F2" w:rsidRPr="00E707F4">
        <w:rPr>
          <w:color w:val="auto"/>
        </w:rPr>
        <w:t>0</w:t>
      </w:r>
      <w:r w:rsidRPr="00E707F4">
        <w:rPr>
          <w:color w:val="auto"/>
        </w:rPr>
        <w:t>分</w:t>
      </w: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C074B0" w:rsidRDefault="00B707A6">
      <w:pPr>
        <w:spacing w:line="317" w:lineRule="exact"/>
        <w:rPr>
          <w:rFonts w:hint="default"/>
        </w:rPr>
      </w:pPr>
      <w:r>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8B6B81">
        <w:rPr>
          <w:color w:val="auto"/>
        </w:rPr>
        <w:t>8</w:t>
      </w:r>
      <w:r w:rsidRPr="00E707F4">
        <w:rPr>
          <w:color w:val="auto"/>
        </w:rPr>
        <w:t>日（</w:t>
      </w:r>
      <w:r w:rsidR="008B6B81">
        <w:rPr>
          <w:color w:val="auto"/>
        </w:rPr>
        <w:t>水</w:t>
      </w:r>
      <w:r w:rsidRPr="00E707F4">
        <w:rPr>
          <w:color w:val="auto"/>
        </w:rPr>
        <w:t>）</w:t>
      </w:r>
      <w:r w:rsidR="00AE05F2" w:rsidRPr="00E707F4">
        <w:rPr>
          <w:color w:val="auto"/>
        </w:rPr>
        <w:t>1</w:t>
      </w:r>
      <w:r w:rsidR="008B6B81">
        <w:rPr>
          <w:color w:val="auto"/>
        </w:rPr>
        <w:t>4</w:t>
      </w:r>
      <w:r w:rsidRPr="00E707F4">
        <w:rPr>
          <w:color w:val="auto"/>
        </w:rPr>
        <w:t>時</w:t>
      </w:r>
      <w:r w:rsidR="00576B9B">
        <w:rPr>
          <w:color w:val="auto"/>
        </w:rPr>
        <w:t>3</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t>５</w:t>
      </w:r>
      <w:r w:rsidR="00B707A6">
        <w:t>．その他</w:t>
      </w:r>
    </w:p>
    <w:p w:rsidR="00C074B0" w:rsidRDefault="00B707A6">
      <w:pPr>
        <w:spacing w:line="317" w:lineRule="exact"/>
        <w:rPr>
          <w:rFonts w:hint="default"/>
        </w:rPr>
      </w:pPr>
      <w:r>
        <w:lastRenderedPageBreak/>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C074B0" w:rsidRDefault="00B707A6">
      <w:pPr>
        <w:spacing w:line="317" w:lineRule="exact"/>
        <w:rPr>
          <w:rFonts w:hint="default"/>
        </w:rPr>
      </w:pPr>
      <w:r>
        <w:t>（４）契約書作成の要否　･････　要（</w:t>
      </w:r>
      <w:r w:rsidR="002B77AB">
        <w:t>警備・食器洗浄</w:t>
      </w:r>
      <w:r w:rsidR="00AE05F2" w:rsidRPr="00E707F4">
        <w:rPr>
          <w:color w:val="auto"/>
          <w:szCs w:val="24"/>
        </w:rPr>
        <w:t>業務</w:t>
      </w: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C074B0" w:rsidP="00871E18">
      <w:pPr>
        <w:spacing w:line="377" w:lineRule="exact"/>
        <w:rPr>
          <w:rFonts w:hint="default"/>
        </w:rPr>
      </w:pPr>
    </w:p>
    <w:sectPr w:rsidR="00C074B0" w:rsidSect="00871E18">
      <w:footnotePr>
        <w:numRestart w:val="eachPage"/>
      </w:footnotePr>
      <w:endnotePr>
        <w:numFmt w:val="decimal"/>
      </w:endnotePr>
      <w:pgSz w:w="11906" w:h="16838"/>
      <w:pgMar w:top="1021" w:right="851" w:bottom="567" w:left="1418"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894" w:rsidRDefault="00F63894">
      <w:pPr>
        <w:spacing w:before="327"/>
        <w:rPr>
          <w:rFonts w:hint="default"/>
        </w:rPr>
      </w:pPr>
      <w:r>
        <w:continuationSeparator/>
      </w:r>
    </w:p>
  </w:endnote>
  <w:endnote w:type="continuationSeparator" w:id="0">
    <w:p w:rsidR="00F63894" w:rsidRDefault="00F63894">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894" w:rsidRDefault="00F63894">
      <w:pPr>
        <w:spacing w:before="327"/>
        <w:rPr>
          <w:rFonts w:hint="default"/>
        </w:rPr>
      </w:pPr>
      <w:r>
        <w:continuationSeparator/>
      </w:r>
    </w:p>
  </w:footnote>
  <w:footnote w:type="continuationSeparator" w:id="0">
    <w:p w:rsidR="00F63894" w:rsidRDefault="00F63894">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9523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50687"/>
    <w:rsid w:val="000553B0"/>
    <w:rsid w:val="00094F2D"/>
    <w:rsid w:val="000B1094"/>
    <w:rsid w:val="000C10D6"/>
    <w:rsid w:val="001038EB"/>
    <w:rsid w:val="001047FC"/>
    <w:rsid w:val="001068C9"/>
    <w:rsid w:val="00112DF6"/>
    <w:rsid w:val="00113009"/>
    <w:rsid w:val="00120AC6"/>
    <w:rsid w:val="00142A69"/>
    <w:rsid w:val="00147758"/>
    <w:rsid w:val="00185177"/>
    <w:rsid w:val="00194DBC"/>
    <w:rsid w:val="001A3B07"/>
    <w:rsid w:val="001A7F5A"/>
    <w:rsid w:val="001E0B5B"/>
    <w:rsid w:val="001F01F8"/>
    <w:rsid w:val="00202D44"/>
    <w:rsid w:val="00217296"/>
    <w:rsid w:val="00246E81"/>
    <w:rsid w:val="00272767"/>
    <w:rsid w:val="00282490"/>
    <w:rsid w:val="002827EE"/>
    <w:rsid w:val="002B5CE9"/>
    <w:rsid w:val="002B77AB"/>
    <w:rsid w:val="002B7CD3"/>
    <w:rsid w:val="002F1BE5"/>
    <w:rsid w:val="00306A65"/>
    <w:rsid w:val="00353985"/>
    <w:rsid w:val="003620A3"/>
    <w:rsid w:val="0038602C"/>
    <w:rsid w:val="003A1153"/>
    <w:rsid w:val="003B2094"/>
    <w:rsid w:val="004330A7"/>
    <w:rsid w:val="00465F33"/>
    <w:rsid w:val="00486903"/>
    <w:rsid w:val="004B0362"/>
    <w:rsid w:val="004B0B62"/>
    <w:rsid w:val="004D3C1A"/>
    <w:rsid w:val="004E1EF0"/>
    <w:rsid w:val="004F5295"/>
    <w:rsid w:val="004F7740"/>
    <w:rsid w:val="00523157"/>
    <w:rsid w:val="00576B9B"/>
    <w:rsid w:val="00586019"/>
    <w:rsid w:val="005A5BEC"/>
    <w:rsid w:val="005D22D0"/>
    <w:rsid w:val="005D59BB"/>
    <w:rsid w:val="0062271E"/>
    <w:rsid w:val="0062437F"/>
    <w:rsid w:val="006521A9"/>
    <w:rsid w:val="006638E4"/>
    <w:rsid w:val="006842CC"/>
    <w:rsid w:val="0068605F"/>
    <w:rsid w:val="00687B28"/>
    <w:rsid w:val="00696CD6"/>
    <w:rsid w:val="006D1C24"/>
    <w:rsid w:val="006D1D2A"/>
    <w:rsid w:val="006D52D7"/>
    <w:rsid w:val="00700C01"/>
    <w:rsid w:val="00736C52"/>
    <w:rsid w:val="00744747"/>
    <w:rsid w:val="00745CA3"/>
    <w:rsid w:val="00763B4A"/>
    <w:rsid w:val="00771DE3"/>
    <w:rsid w:val="00792E7D"/>
    <w:rsid w:val="00804B5D"/>
    <w:rsid w:val="008056AF"/>
    <w:rsid w:val="00820FA7"/>
    <w:rsid w:val="00836039"/>
    <w:rsid w:val="00844542"/>
    <w:rsid w:val="00863EFA"/>
    <w:rsid w:val="00871E18"/>
    <w:rsid w:val="00883BB4"/>
    <w:rsid w:val="0089273B"/>
    <w:rsid w:val="008B6B81"/>
    <w:rsid w:val="008D2961"/>
    <w:rsid w:val="008D6A13"/>
    <w:rsid w:val="008E02E2"/>
    <w:rsid w:val="008E1623"/>
    <w:rsid w:val="008F083F"/>
    <w:rsid w:val="00900247"/>
    <w:rsid w:val="00932681"/>
    <w:rsid w:val="00940C29"/>
    <w:rsid w:val="00982C9A"/>
    <w:rsid w:val="009A44D4"/>
    <w:rsid w:val="009E4D4E"/>
    <w:rsid w:val="00A2361B"/>
    <w:rsid w:val="00A373AC"/>
    <w:rsid w:val="00A44993"/>
    <w:rsid w:val="00A90C70"/>
    <w:rsid w:val="00AB206D"/>
    <w:rsid w:val="00AB78BA"/>
    <w:rsid w:val="00AC631C"/>
    <w:rsid w:val="00AE05F2"/>
    <w:rsid w:val="00AF1F79"/>
    <w:rsid w:val="00B0187C"/>
    <w:rsid w:val="00B0316F"/>
    <w:rsid w:val="00B22EA3"/>
    <w:rsid w:val="00B35BE3"/>
    <w:rsid w:val="00B44AB4"/>
    <w:rsid w:val="00B65E20"/>
    <w:rsid w:val="00B707A6"/>
    <w:rsid w:val="00B86C38"/>
    <w:rsid w:val="00B93CA7"/>
    <w:rsid w:val="00BB5CB2"/>
    <w:rsid w:val="00BD2413"/>
    <w:rsid w:val="00C02544"/>
    <w:rsid w:val="00C074B0"/>
    <w:rsid w:val="00C16BAE"/>
    <w:rsid w:val="00C36FE8"/>
    <w:rsid w:val="00C42331"/>
    <w:rsid w:val="00C50F5E"/>
    <w:rsid w:val="00C70114"/>
    <w:rsid w:val="00C77085"/>
    <w:rsid w:val="00C90464"/>
    <w:rsid w:val="00CB5E5D"/>
    <w:rsid w:val="00CD3D6C"/>
    <w:rsid w:val="00CF6876"/>
    <w:rsid w:val="00CF7A59"/>
    <w:rsid w:val="00D13C41"/>
    <w:rsid w:val="00D51739"/>
    <w:rsid w:val="00D5518E"/>
    <w:rsid w:val="00D62611"/>
    <w:rsid w:val="00D720B2"/>
    <w:rsid w:val="00DA0E98"/>
    <w:rsid w:val="00DC3740"/>
    <w:rsid w:val="00DE34BF"/>
    <w:rsid w:val="00DF3D70"/>
    <w:rsid w:val="00E05578"/>
    <w:rsid w:val="00E24DA1"/>
    <w:rsid w:val="00E429E2"/>
    <w:rsid w:val="00E4635B"/>
    <w:rsid w:val="00E54A5D"/>
    <w:rsid w:val="00E563A7"/>
    <w:rsid w:val="00E656F9"/>
    <w:rsid w:val="00E707F4"/>
    <w:rsid w:val="00E747BD"/>
    <w:rsid w:val="00E831BF"/>
    <w:rsid w:val="00E843EB"/>
    <w:rsid w:val="00E8547B"/>
    <w:rsid w:val="00EC5A9E"/>
    <w:rsid w:val="00ED66AF"/>
    <w:rsid w:val="00F56E9B"/>
    <w:rsid w:val="00F611E2"/>
    <w:rsid w:val="00F63894"/>
    <w:rsid w:val="00F738FC"/>
    <w:rsid w:val="00FB1688"/>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lang/>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lang/>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lang/>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8A1F-6C83-4C3E-8025-7EDABB67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6</cp:revision>
  <cp:lastPrinted>2014-02-19T09:08:00Z</cp:lastPrinted>
  <dcterms:created xsi:type="dcterms:W3CDTF">2015-02-23T06:23:00Z</dcterms:created>
  <dcterms:modified xsi:type="dcterms:W3CDTF">2015-02-24T10:48:00Z</dcterms:modified>
</cp:coreProperties>
</file>